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EFD8">
      <w:pPr>
        <w:rPr>
          <w:rFonts w:ascii="微软雅黑" w:hAnsi="微软雅黑" w:eastAsia="微软雅黑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4"/>
        </w:rPr>
        <w:t>附表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color w:val="000000"/>
          <w:sz w:val="24"/>
        </w:rPr>
        <w:t xml:space="preserve">：               </w:t>
      </w:r>
      <w:r>
        <w:rPr>
          <w:rFonts w:hint="eastAsia" w:ascii="微软雅黑" w:hAnsi="微软雅黑" w:eastAsia="微软雅黑"/>
          <w:sz w:val="30"/>
          <w:szCs w:val="30"/>
        </w:rPr>
        <w:t>开箱随机文件资料登记表</w:t>
      </w:r>
    </w:p>
    <w:bookmarkEnd w:id="0"/>
    <w:p w14:paraId="6497EFA3">
      <w:pPr>
        <w:ind w:firstLine="240" w:firstLineChars="100"/>
        <w:rPr>
          <w:rFonts w:ascii="楷体_GB2312" w:eastAsia="楷体_GB2312"/>
          <w:sz w:val="24"/>
        </w:rPr>
      </w:pPr>
    </w:p>
    <w:p w14:paraId="794DE592">
      <w:pPr>
        <w:ind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设备编号：                  设备类型：□外购□自制□特种□软件信息类</w:t>
      </w:r>
    </w:p>
    <w:tbl>
      <w:tblPr>
        <w:tblStyle w:val="3"/>
        <w:tblW w:w="832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87"/>
        <w:gridCol w:w="992"/>
        <w:gridCol w:w="992"/>
        <w:gridCol w:w="1134"/>
      </w:tblGrid>
      <w:tr w14:paraId="3B3A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E6DB4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序</w:t>
            </w:r>
          </w:p>
          <w:p w14:paraId="4F465C2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</w:t>
            </w:r>
          </w:p>
        </w:tc>
        <w:tc>
          <w:tcPr>
            <w:tcW w:w="448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052B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资料名称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3AC5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份数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1384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页数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4AD2BD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备注</w:t>
            </w:r>
          </w:p>
        </w:tc>
      </w:tr>
      <w:tr w14:paraId="7617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980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7BE9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B46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85D3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1C2A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649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1D8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66C3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E4CA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5893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43026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39CA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AC6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14F1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A13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2FF2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20356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01B0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4D5E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4CB2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0C6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635A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13FDD3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855A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C168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C446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ED6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7F92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4A9C98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79FB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66C6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3F15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D9B9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1B88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A5CF5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5A4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1428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79B5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ADE4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9062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F994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475F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AB8E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C7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84E4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C98A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8FBF8A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D6A7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D007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59F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1A0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B6F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AF8878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E501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27B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06CD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42B6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396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B1498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F82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A1A9E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AE84D6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AA42C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640C5E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2F99D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29D0C902">
      <w:pPr>
        <w:ind w:firstLine="480"/>
        <w:rPr>
          <w:rFonts w:ascii="仿宋_GB2312" w:eastAsia="仿宋_GB2312"/>
          <w:sz w:val="24"/>
        </w:rPr>
      </w:pPr>
    </w:p>
    <w:p w14:paraId="169293D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归档责任人：                       联系方式：</w:t>
      </w:r>
    </w:p>
    <w:p w14:paraId="2D03B8E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档案馆负责人签字：                 联系方式：</w:t>
      </w:r>
    </w:p>
    <w:p w14:paraId="7CC05F68">
      <w:pPr>
        <w:ind w:firstLine="480"/>
        <w:rPr>
          <w:rFonts w:ascii="仿宋_GB2312" w:eastAsia="仿宋_GB2312"/>
          <w:sz w:val="24"/>
        </w:rPr>
      </w:pPr>
    </w:p>
    <w:p w14:paraId="77685C13">
      <w:pPr>
        <w:spacing w:line="240" w:lineRule="atLeast"/>
        <w:ind w:left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说明:1.验收报告一式三份，经相关人员签字，一份由项目组保存，一份交由实验室与设备管理处存档，一份交由档案馆存档。</w:t>
      </w:r>
    </w:p>
    <w:p w14:paraId="1C768A5A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2.报账前，验收报告（一式三份）经档案馆负责人审查签字后，方可到实验室与设备管理处办理入账（转固）手续。</w:t>
      </w:r>
    </w:p>
    <w:p w14:paraId="232127F0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24"/>
        </w:rPr>
        <w:t xml:space="preserve">     3.归档审查时需提交：①签字手续完备的验收报告（一式三份）；②全套随机资料；③物品采购申请表；④合同协议等原件，归档审查通过后方可到实设处办理后续手续。</w:t>
      </w: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08A567B"/>
    <w:rsid w:val="27D36650"/>
    <w:rsid w:val="286D4185"/>
    <w:rsid w:val="3A6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1178</Words>
  <Characters>1194</Characters>
  <Lines>0</Lines>
  <Paragraphs>0</Paragraphs>
  <TotalTime>1</TotalTime>
  <ScaleCrop>false</ScaleCrop>
  <LinksUpToDate>false</LinksUpToDate>
  <CharactersWithSpaces>1409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0C1770E8F8A949B5B8C2F9A15DE7632D_13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